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tif" ContentType="image/tif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="0" w:after="0"/>
        <w:rPr>
          <w:rFonts w:ascii="Raleway" w:hAnsi="Raleway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Designação do projeto</w:t>
      </w:r>
      <w:r>
        <w:rPr>
          <w:rStyle w:val="Strong"/>
          <w:rFonts w:ascii="Raleway" w:hAnsi="Raleway"/>
          <w:spacing w:val="6"/>
          <w:sz w:val="21"/>
          <w:szCs w:val="21"/>
        </w:rPr>
        <w:t>:</w:t>
      </w:r>
      <w:r>
        <w:rPr>
          <w:rFonts w:ascii="Raleway" w:hAnsi="Raleway"/>
          <w:spacing w:val="6"/>
          <w:sz w:val="21"/>
          <w:szCs w:val="21"/>
        </w:rPr>
        <w:t> Contratação de Recursos Humanos Altamente Qualificados (CRHAQ)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Código do projeto:</w:t>
      </w:r>
      <w:r>
        <w:rPr>
          <w:rFonts w:ascii="Raleway" w:hAnsi="Raleway"/>
          <w:color w:val="000000"/>
          <w:spacing w:val="6"/>
          <w:sz w:val="21"/>
          <w:szCs w:val="21"/>
        </w:rPr>
        <w:t> CENTRO-04-3559-FSE-000158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Objetivo principal:</w:t>
      </w:r>
      <w:r>
        <w:rPr>
          <w:rFonts w:ascii="Raleway" w:hAnsi="Raleway"/>
          <w:color w:val="000000"/>
          <w:spacing w:val="6"/>
          <w:sz w:val="21"/>
          <w:szCs w:val="21"/>
        </w:rPr>
        <w:t> Contribuir para um novo paradigma de apropriação do património arqueológico que o inscreva no território como um ativo de desenvolvimento a partir da integração das dimensões de produção e fruição de conhecimento.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Região de intervenção: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 Centro 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/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/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8483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/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Entidades benificiárias:</w:t>
      </w:r>
      <w:r>
        <w:rPr>
          <w:rFonts w:ascii="Raleway" w:hAnsi="Raleway"/>
          <w:color w:val="000000"/>
          <w:spacing w:val="6"/>
          <w:sz w:val="21"/>
          <w:szCs w:val="21"/>
        </w:rPr>
        <w:t> Instituto Politécnico de Tomar, através da Escola Superior de Tecnologia de Abrantes e do Centro de Estudos Politécnicos de Mação 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Data de aprovação:</w:t>
      </w:r>
      <w:r>
        <w:rPr>
          <w:rFonts w:ascii="Raleway" w:hAnsi="Raleway"/>
          <w:color w:val="000000"/>
          <w:spacing w:val="6"/>
          <w:sz w:val="21"/>
          <w:szCs w:val="21"/>
        </w:rPr>
        <w:t> </w:t>
      </w:r>
      <w:r>
        <w:rPr>
          <w:rFonts w:ascii="Raleway" w:hAnsi="Raleway"/>
          <w:spacing w:val="6"/>
          <w:sz w:val="21"/>
          <w:szCs w:val="21"/>
        </w:rPr>
        <w:t>01/07/2021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Data de início:</w:t>
      </w:r>
      <w:r>
        <w:rPr>
          <w:rFonts w:ascii="Raleway" w:hAnsi="Raleway"/>
          <w:color w:val="000000"/>
          <w:spacing w:val="6"/>
          <w:sz w:val="21"/>
          <w:szCs w:val="21"/>
        </w:rPr>
        <w:t> </w:t>
      </w:r>
      <w:r>
        <w:rPr>
          <w:rFonts w:ascii="Raleway" w:hAnsi="Raleway"/>
          <w:spacing w:val="6"/>
          <w:sz w:val="21"/>
          <w:szCs w:val="21"/>
        </w:rPr>
        <w:t>01/12/2021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Data de conclusão:</w:t>
      </w:r>
      <w:r>
        <w:rPr>
          <w:rFonts w:ascii="Raleway" w:hAnsi="Raleway"/>
          <w:color w:val="000000"/>
          <w:spacing w:val="6"/>
          <w:sz w:val="21"/>
          <w:szCs w:val="21"/>
        </w:rPr>
        <w:t> 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>31/12/2023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Custo total elegível:</w:t>
      </w:r>
      <w:r>
        <w:rPr>
          <w:rFonts w:ascii="Raleway" w:hAnsi="Raleway"/>
          <w:color w:val="000000"/>
          <w:spacing w:val="6"/>
          <w:sz w:val="21"/>
          <w:szCs w:val="21"/>
        </w:rPr>
        <w:t> </w:t>
      </w:r>
      <w:r>
        <w:rPr>
          <w:rFonts w:ascii="Raleway" w:hAnsi="Raleway"/>
          <w:spacing w:val="6"/>
          <w:sz w:val="21"/>
          <w:szCs w:val="21"/>
        </w:rPr>
        <w:t>673.140,48€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Apoio financeiro da União Europeia:</w:t>
      </w:r>
      <w:r>
        <w:rPr>
          <w:rFonts w:ascii="Raleway" w:hAnsi="Raleway"/>
          <w:color w:val="000000"/>
          <w:spacing w:val="6"/>
          <w:sz w:val="21"/>
          <w:szCs w:val="21"/>
        </w:rPr>
        <w:t> : FSE – 572.169,41€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Apoio financeiro público nacional:</w:t>
      </w:r>
      <w:r>
        <w:rPr>
          <w:rFonts w:ascii="Raleway" w:hAnsi="Raleway"/>
          <w:color w:val="000000"/>
          <w:spacing w:val="6"/>
          <w:sz w:val="21"/>
          <w:szCs w:val="21"/>
        </w:rPr>
        <w:t> </w:t>
      </w:r>
      <w:r>
        <w:rPr>
          <w:rFonts w:ascii="Raleway" w:hAnsi="Raleway"/>
          <w:spacing w:val="6"/>
          <w:sz w:val="21"/>
          <w:szCs w:val="21"/>
        </w:rPr>
        <w:t>100.971,07€ </w:t>
      </w:r>
    </w:p>
    <w:p>
      <w:pPr>
        <w:pStyle w:val="NormalWeb"/>
        <w:shd w:val="clear" w:color="auto" w:fill="FFFFFF"/>
        <w:spacing w:before="0" w:after="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Style w:val="Strong"/>
          <w:rFonts w:ascii="Raleway" w:hAnsi="Raleway"/>
          <w:color w:val="000000"/>
          <w:spacing w:val="6"/>
          <w:sz w:val="21"/>
          <w:szCs w:val="21"/>
        </w:rPr>
        <w:t>Objetivos, atividades e resultados esperados/atingidos: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A estratégia do presente projeto assenta em dois pilares: acessibilidade do Património Cultural e Territorial (aliado ao Turismo e assegurando a sua Conservação), apoiada por novos recursos digitais que, porém, devem potenciar a fruição cognitiva através de experiências analógicas. A promoção do Turismo Patrimonial beneficia os territórios de baixa densidade, gerando riqueza e novos empregos, tanto direta quanto indiretamente.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Acionar, duplamente, o «tour digital» e o «tour presencial» constituem um procedimento empresarial acelerado pela crise sanitária à procura turística atual: é constatação relevante para esta proposta de valorização patrimonial holística e preditiva. Na esfera do património é identificada uma lacuna essencial para a valorização global dos territórios, que penaliza sobretudo os territórios de baixa densidade demográfica como sejam os territórios Médio Tejo (Abrantes, Tomar; Mação, Barquinha e Constância). Neste sentido,   uma compreensão e valorização do património arqueológico, que representa mais de 90% dos recursos patrimoniais da região, com distribuição equilibrada por todo o território é fundamental. Tal não se deve à falta de identificação desse património, em grande medida inventariado, mas à falta de recursos humanos qualificados e dedicados a essa valorização. A dificuldade dos agentes turísticos em valorizar esses recursos patrimoniais tem bloqueado a sua plena inserção em cadeias de valor que contribuam não apenas para o desenvolvimento de ambos os setores, mas para o desenvolvimento e coesão territoriais. O projeto parte desta estratégia e dos recursos dos três centros de pesquisa acreditados pela Fundação para a Ciência e Tecnologia (FCT) no Instituto Politécnico de Tomar (IPT), articulando-se com entidades nacionais que gerem o território, o património e o turismo (CIMT – Comunidade Intermunicipal do Médio Tejo; DGPC – Direção Geral do Património Cultural; e</w:t>
      </w:r>
      <w:r>
        <w:rPr/>
        <w:t xml:space="preserve"> </w:t>
      </w:r>
      <w:r>
        <w:rPr>
          <w:rFonts w:ascii="Raleway" w:hAnsi="Raleway"/>
          <w:color w:val="000000"/>
          <w:spacing w:val="6"/>
          <w:sz w:val="21"/>
          <w:szCs w:val="21"/>
        </w:rPr>
        <w:t>Turismo Centro), com o setor empresarial (NERSANT – Associação Empresarial da Região de Santarém; e PME – Pequenas e Médias Empresas) e com a UNESCO - Organização das Nações Unidas para a Educação, a Ciência e a Cultura (ver Figura 2).</w:t>
      </w:r>
    </w:p>
    <w:p>
      <w:pPr>
        <w:pStyle w:val="NormalWeb"/>
        <w:shd w:val="clear" w:color="auto" w:fill="FFFFFF"/>
        <w:spacing w:before="280" w:after="28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  <w:u w:val="single"/>
        </w:rPr>
        <w:t>Os principais objetivos, propostos para o projeto são</w:t>
      </w:r>
      <w:r>
        <w:rPr>
          <w:rFonts w:ascii="Raleway" w:hAnsi="Raleway"/>
          <w:color w:val="000000"/>
          <w:spacing w:val="6"/>
          <w:sz w:val="21"/>
          <w:szCs w:val="21"/>
        </w:rPr>
        <w:t>:</w:t>
      </w:r>
    </w:p>
    <w:p>
      <w:pPr>
        <w:pStyle w:val="NormalWeb"/>
        <w:shd w:val="clear" w:color="auto" w:fill="FFFFFF"/>
        <w:spacing w:before="280" w:after="28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b/>
          <w:bCs/>
          <w:color w:val="000000"/>
          <w:spacing w:val="6"/>
          <w:sz w:val="21"/>
          <w:szCs w:val="21"/>
        </w:rPr>
        <w:t>Contribuir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 para um novo paradigma de apropriação do património arqueológico que o inscreva no território como um ativo de desenvolvimento a partir da integração das dimensões de produção e fruição de conhecimento;</w:t>
      </w:r>
    </w:p>
    <w:p>
      <w:pPr>
        <w:pStyle w:val="NormalWeb"/>
        <w:shd w:val="clear" w:color="auto" w:fill="FFFFFF"/>
        <w:spacing w:before="280" w:after="28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b/>
          <w:bCs/>
          <w:color w:val="000000"/>
          <w:spacing w:val="6"/>
          <w:sz w:val="21"/>
          <w:szCs w:val="21"/>
        </w:rPr>
        <w:t>Estruturar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 ações de formação, articuladas em particular com a NERSANT, para a preparação de gestores e funcionários de empresas de hotelaria e turismo no conhecimento e compreensão deste património e na orientação de visitantes para o mesmo, de forma articulada com a já existente rede de museus e serviços municipais de cultura (que também serão atualizados neste domínio, dando continuidade à colaboração com a CIMT), entre outros;</w:t>
      </w:r>
    </w:p>
    <w:p>
      <w:pPr>
        <w:pStyle w:val="NormalWeb"/>
        <w:shd w:val="clear" w:color="auto" w:fill="FFFFFF"/>
        <w:spacing w:before="280" w:after="280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b/>
          <w:bCs/>
          <w:color w:val="000000"/>
          <w:spacing w:val="6"/>
          <w:sz w:val="21"/>
          <w:szCs w:val="21"/>
        </w:rPr>
        <w:t>Dar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 apoio direto a empresas na estruturação de planos de atividade e negócios que potenciem o mapeamento do projeto, propondo, sempre em parceria com as demais entidades territoriais, a criação de um selo de qualidade para as empresas que acolham e promovam este eixo de valorização patrimonial e territorial..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/>
        <w:drawing>
          <wp:inline distT="0" distB="0" distL="0" distR="0">
            <wp:extent cx="4524375" cy="2971800"/>
            <wp:effectExtent l="0" t="0" r="0" b="0"/>
            <wp:docPr id="2" name="Imagem 2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Figura 1 – Localização da região de Médio Tejo e municípios de implementação do projeto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/>
        <w:drawing>
          <wp:inline distT="0" distB="0" distL="0" distR="0">
            <wp:extent cx="5286375" cy="3810000"/>
            <wp:effectExtent l="0" t="0" r="0" b="0"/>
            <wp:docPr id="3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 xml:space="preserve">Figura 2 - Dinâmica do projeto 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 xml:space="preserve">Pelo exposto, no que respeita às atividades, o projeto está estruturado em sete 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 xml:space="preserve">work-packages (WPs) 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: 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>WP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 gestão das atividades do projeto; 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>WP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 inventário de recursos culturais e arqueológicos do Médio Tejo (Abrantes, Tomar; Mação, Barquinha e Constância); 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 xml:space="preserve">WP 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ciência e investigação conectado ao património arqueológico; WP Educação e Formação com a capacitação e educação para a sensibilização de crianças, jovens e adultos para a importância do património e para a necessidade da sua preservação; 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>WP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 turismo e desenvolvimento comunitário no que toca à classificação de Património Mundial, reserva da biosfera enquanto indutor da especialização do turismo; 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 xml:space="preserve">WP </w:t>
      </w:r>
      <w:r>
        <w:rPr>
          <w:rFonts w:ascii="Raleway" w:hAnsi="Raleway"/>
          <w:color w:val="000000"/>
          <w:spacing w:val="6"/>
          <w:sz w:val="21"/>
          <w:szCs w:val="21"/>
        </w:rPr>
        <w:t>preservação e valorização com vista a evitar a sua degradação e apoiar a sua conservação, qualificando assim desta forma  os recursos existentes na área do Médio Tejo;</w:t>
      </w:r>
      <w:r>
        <w:rPr>
          <w:rFonts w:ascii="Raleway" w:hAnsi="Raleway"/>
          <w:i/>
          <w:iCs/>
          <w:color w:val="000000"/>
          <w:spacing w:val="6"/>
          <w:sz w:val="21"/>
          <w:szCs w:val="21"/>
        </w:rPr>
        <w:t xml:space="preserve"> WP 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comunicação e marketing, para o desenvolvimento de estratégias de divulgação do projeto, como forma de posicionamento dos diferentes domínios do  desenvolvimento do mesmo. 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  <w:u w:val="single"/>
        </w:rPr>
        <w:t>Resultados esperados/atingidos</w:t>
      </w:r>
      <w:r>
        <w:rPr>
          <w:rFonts w:ascii="Raleway" w:hAnsi="Raleway"/>
          <w:color w:val="000000"/>
          <w:spacing w:val="6"/>
          <w:sz w:val="21"/>
          <w:szCs w:val="21"/>
        </w:rPr>
        <w:t>: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Os resultados esperados situam-se em três planos: investigação (co-construção de conhecimento, envolvendo a população residente e visitante), transferência do conhecimento (entre ensino superior e o tecido empresarial) e valorização de mercado do património arqueológico na sua relação com o território, que convergem para o desenvolvimento territorial.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Até ao momento já foi possível realizar um levantamento exaustivo dos recursos culturais e arqueológicos existentes no Médio Tejo, mais propriamente nos concelhos de: Abrantes, Tomar; Mação, Barquinha e Constância, pretendendo-se de seguida  validar a mesma junto dos respetivos municípios. Esta validação servirá posteriormente para construir os itinerários culturais e arqueológicos.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Está em decurso o desenvolvimento de uma aplicação digital (App)</w:t>
      </w:r>
      <w:r>
        <w:rPr/>
        <w:t xml:space="preserve"> </w:t>
      </w:r>
      <w:r>
        <w:rPr>
          <w:rFonts w:ascii="Raleway" w:hAnsi="Raleway"/>
          <w:color w:val="000000"/>
          <w:spacing w:val="6"/>
          <w:sz w:val="21"/>
          <w:szCs w:val="21"/>
        </w:rPr>
        <w:t>para a integração da informação recolhida sobre os locais culturais e arqueológicos.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Está igualmente em decurso a definição do plano de formações, bem como o respetivo contacto com as escolas dos 5 municípios, para a realização de visitas  e explicação do funcionamento da aplicação digital.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>A equipa de projeto tem participado em diferentes eventos científicos para divulgação do projeto, bem como, já se encontra construído a marca/logótipo associado ao turismo arqueológico e paisagístico (Figura 3) e construção de redes sociais para divulgação dos diferentes eventos do projeto.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Raleway" w:hAnsi="Raleway"/>
          <w:color w:val="000000"/>
          <w:spacing w:val="6"/>
          <w:sz w:val="21"/>
          <w:szCs w:val="21"/>
        </w:rPr>
      </w:pPr>
      <w:r>
        <w:rPr/>
        <w:drawing>
          <wp:inline distT="0" distB="0" distL="0" distR="0">
            <wp:extent cx="3171825" cy="169481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Raleway" w:hAnsi="Raleway"/>
          <w:color w:val="000000"/>
          <w:spacing w:val="6"/>
          <w:sz w:val="21"/>
          <w:szCs w:val="21"/>
        </w:rPr>
      </w:pPr>
      <w:r>
        <w:rPr>
          <w:rFonts w:ascii="Raleway" w:hAnsi="Raleway"/>
          <w:color w:val="000000"/>
          <w:spacing w:val="6"/>
          <w:sz w:val="21"/>
          <w:szCs w:val="21"/>
        </w:rPr>
        <w:t xml:space="preserve"> </w:t>
      </w:r>
      <w:r>
        <w:rPr>
          <w:rFonts w:ascii="Raleway" w:hAnsi="Raleway"/>
          <w:color w:val="000000"/>
          <w:spacing w:val="6"/>
          <w:sz w:val="21"/>
          <w:szCs w:val="21"/>
        </w:rPr>
        <w:t xml:space="preserve">Figura 3 – Marca/Logótipo do projeto para disseminação do mesmo. 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aleway" w:hAnsi="Raleway"/>
          <w:color w:val="000000"/>
          <w:spacing w:val="6"/>
          <w:sz w:val="21"/>
          <w:szCs w:val="21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Raleway">
    <w:charset w:val="01"/>
    <w:family w:val="roman"/>
    <w:pitch w:val="variable"/>
  </w:font>
  <w:font w:name="Segoe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c7430"/>
    <w:rPr>
      <w:b/>
      <w:bCs/>
    </w:rPr>
  </w:style>
  <w:style w:type="character" w:styleId="Eop" w:customStyle="1">
    <w:name w:val="eop"/>
    <w:basedOn w:val="DefaultParagraphFont"/>
    <w:qFormat/>
    <w:rsid w:val="00a64fd9"/>
    <w:rPr/>
  </w:style>
  <w:style w:type="character" w:styleId="Normaltextrun" w:customStyle="1">
    <w:name w:val="normaltextrun"/>
    <w:basedOn w:val="DefaultParagraphFont"/>
    <w:qFormat/>
    <w:rsid w:val="00a64fd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3c74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paragraph" w:styleId="Paragraph" w:customStyle="1">
    <w:name w:val="paragraph"/>
    <w:basedOn w:val="Normal"/>
    <w:qFormat/>
    <w:rsid w:val="00a64f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t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LibreOffice/7.3.7.2$Linux_X86_64 LibreOffice_project/30$Build-2</Application>
  <AppVersion>15.0000</AppVersion>
  <Pages>4</Pages>
  <Words>951</Words>
  <Characters>5650</Characters>
  <CharactersWithSpaces>6601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2023-03-13T22:37:00Z</dcterms:created>
  <dc:creator>Anícia Rebelo Trindade</dc:creator>
  <dc:description/>
  <dc:language>pt-BR</dc:language>
  <cp:lastModifiedBy/>
  <dcterms:modified xsi:type="dcterms:W3CDTF">2023-04-27T15:01:29Z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